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Topic</w:t>
      </w:r>
      <w:r>
        <w:rPr>
          <w:rFonts w:ascii="Calibri" w:hAnsi="Calibri"/>
          <w:color w:val="1F2937"/>
          <w:sz w:val="22"/>
          <w:szCs w:val="22"/>
        </w:rPr>
        <w:t xml:space="preserve">: NASA-LSP-2026-014: In-Situ Resource Utilization for Lunar Surface Construction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Contract</w:t>
      </w:r>
      <w:r>
        <w:rPr>
          <w:rFonts w:ascii="Calibri" w:hAnsi="Calibri"/>
          <w:color w:val="1F2937"/>
          <w:sz w:val="22"/>
          <w:szCs w:val="22"/>
        </w:rPr>
        <w:t xml:space="preserve">: NNX25-LR-0042 (Phase I) → Phase II Proposal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Title</w:t>
      </w:r>
      <w:r>
        <w:rPr>
          <w:rFonts w:ascii="Calibri" w:hAnsi="Calibri"/>
          <w:color w:val="1F2937"/>
          <w:sz w:val="22"/>
          <w:szCs w:val="22"/>
        </w:rPr>
        <w:t xml:space="preserve">: Lunar Regolith Sintering for In-Situ Habitat Printing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Phase</w:t>
      </w:r>
      <w:r>
        <w:rPr>
          <w:rFonts w:ascii="Calibri" w:hAnsi="Calibri"/>
          <w:color w:val="1F2937"/>
          <w:sz w:val="22"/>
          <w:szCs w:val="22"/>
        </w:rPr>
        <w:t xml:space="preserve">: SBIR/STTR Phase II — 12 months, $1,500,000 total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Principal Investigator</w:t>
      </w:r>
      <w:r>
        <w:rPr>
          <w:rFonts w:ascii="Calibri" w:hAnsi="Calibri"/>
          <w:color w:val="1F2937"/>
          <w:sz w:val="22"/>
          <w:szCs w:val="22"/>
        </w:rPr>
        <w:t xml:space="preserve">: Principal Investigator (Example Institute of Selenology)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Co-Investigator</w:t>
      </w:r>
      <w:r>
        <w:rPr>
          <w:rFonts w:ascii="Calibri" w:hAnsi="Calibri"/>
          <w:color w:val="1F2937"/>
          <w:sz w:val="22"/>
          <w:szCs w:val="22"/>
        </w:rPr>
        <w:t xml:space="preserve">: Co-Investigator (Example Institute of Selenology)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Submission Date</w:t>
      </w:r>
      <w:r>
        <w:rPr>
          <w:rFonts w:ascii="Calibri" w:hAnsi="Calibri"/>
          <w:color w:val="1F2937"/>
          <w:sz w:val="22"/>
          <w:szCs w:val="22"/>
        </w:rPr>
        <w:t xml:space="preserve">: 2026-04-15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Proposal Type</w:t>
      </w:r>
      <w:r>
        <w:rPr>
          <w:rFonts w:ascii="Calibri" w:hAnsi="Calibri"/>
          <w:color w:val="1F2937"/>
          <w:sz w:val="22"/>
          <w:szCs w:val="22"/>
        </w:rPr>
        <w:t xml:space="preserve">: Direct-to-Phase-II</w:t>
      </w:r>
    </w:p>
    <w:p>
      <w:pPr>
        <w:pStyle w:val="Heading1"/>
        <w:keepNext w:val="1"/>
        <w:keepLines w:val="1"/>
        <w:spacing w:before="360" w:after="120"/>
        <w:numPr>
          <w:ilvl w:val="0"/>
          <w:numId w:val="0"/>
        </w:numPr>
      </w:pPr>
      <w:r>
        <w:rPr>
          <w:rFonts w:ascii="Calibri" w:hAnsi="Calibri"/>
          <w:b/>
          <w:color w:val="0F3D91"/>
          <w:sz w:val="36"/>
          <w:szCs w:val="36"/>
        </w:rPr>
        <w:t xml:space="preserve">1.0 Introduction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The cost of launching mass to the lunar surface is the dominant constraint on every long-duration mission profile. Conventional habitat designs treat structural materials as cargo and budget every kilogram against transit fuel; under that model, surface infrastructure scales linearly with launch tonnage and a single permanent outpost remains an order of magnitude beyond program affordability.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This proposal generalizes our Phase I prototype into an operational </w:t>
      </w:r>
      <w:r>
        <w:rPr>
          <w:rFonts w:ascii="Calibri" w:hAnsi="Calibri"/>
          <w:b/>
          <w:color w:val="1F2937"/>
          <w:sz w:val="22"/>
          <w:szCs w:val="22"/>
        </w:rPr>
        <w:t xml:space="preserve">in-situ resource utilization</w:t>
      </w:r>
      <w:r>
        <w:rPr>
          <w:rFonts w:ascii="Calibri" w:hAnsi="Calibri"/>
          <w:color w:val="1F2937"/>
          <w:sz w:val="22"/>
          <w:szCs w:val="22"/>
        </w:rPr>
        <w:t xml:space="preserve"> (ISRU) platform that prints load-bearing structures directly from lunar regolith. The Phase I effort (Aug 2025–Feb 2026, $250,000) sintered JSC-1A regolith simulant into compression-test coupons reaching 27.4 MPa — comparable to a low-grade masonry block — at a print resolution of 220 µm [1]. Phase I demonstrated that the sinter profile, gantry kinematics, and dust-tolerant powder bed all work as an integrated system on Earth.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Phase II (12 months, $1,500,000 total) carries the prototype from terrestrial vacuum-chamber operation to a flight-qualifiable subsystem rated for the lunar thermal and radiation environment. See Section 4.0 for the full milestone schedule.</w:t>
      </w:r>
    </w:p>
    <w:p>
      <w:pPr>
        <w:pStyle w:val="Heading1"/>
        <w:keepNext w:val="1"/>
        <w:keepLines w:val="1"/>
        <w:spacing w:before="360" w:after="120"/>
        <w:numPr>
          <w:ilvl w:val="0"/>
          <w:numId w:val="0"/>
        </w:numPr>
      </w:pPr>
      <w:r>
        <w:rPr>
          <w:rFonts w:ascii="Calibri" w:hAnsi="Calibri"/>
          <w:b/>
          <w:color w:val="0F3D91"/>
          <w:sz w:val="36"/>
          <w:szCs w:val="36"/>
        </w:rPr>
        <w:t xml:space="preserve">2.0 Specific Aims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2.1 Aim 1 — Vacuum-Compatible Sinter Profile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Develop and characterize a sinter profile that produces structurally sound parts under lunar surface conditions (10</w:t>
      </w:r>
      <w:r>
        <w:rPr>
          <w:rFonts w:ascii="Calibri" w:hAnsi="Calibri"/>
          <w:color w:val="1F2937"/>
          <w:sz w:val="22"/>
          <w:szCs w:val="22"/>
          <w:vertAlign w:val="superscript"/>
        </w:rPr>
        <w:t xml:space="preserve">-9</w:t>
      </w:r>
      <w:r>
        <w:rPr>
          <w:rFonts w:ascii="Calibri" w:hAnsi="Calibri"/>
          <w:color w:val="1F2937"/>
          <w:sz w:val="22"/>
          <w:szCs w:val="22"/>
        </w:rPr>
        <w:t xml:space="preserve"> Torr, diurnal cycling between -173 °C and 117 °C). Phase I validated the profile at 1 atm in a glovebox; Phase II re-runs the parameter sweep in a thermal-vacuum chamber and quantifies the gap.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Hypothesis</w:t>
      </w:r>
      <w:r>
        <w:rPr>
          <w:rFonts w:ascii="Calibri" w:hAnsi="Calibri"/>
          <w:color w:val="1F2937"/>
          <w:sz w:val="22"/>
          <w:szCs w:val="22"/>
        </w:rPr>
        <w:t xml:space="preserve">: a stepped 1380 °C → 1420 °C profile compensates for reduced convective heat loss in vacuum and yields ≥25 MPa compressive strength on JSC-1A coupons.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2.2 Aim 2 — Dust-Mitigation Recoater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Replace the Phase I roller recoater with a dust-tolerant blade mechanism qualified for the abrasive fines characteristic of mature lunar regolith. Failure mode analysis of Phase I prototypes showed recoater binding as the leading defect source; this aim eliminates that failure mode.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2.3 Aim 3 — Closed-Loop Quality Control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Integrate inline thermal-imaging-based defect detection into the print path, with a per-layer go/no-go decision that pauses printing on anomaly. Targets ≥95% defect-detection sensitivity at &lt;2% false positive rate, validated against ground-truth metallography.</w:t>
      </w:r>
    </w:p>
    <w:p>
      <w:pPr>
        <w:pStyle w:val="Heading1"/>
        <w:keepNext w:val="1"/>
        <w:keepLines w:val="1"/>
        <w:spacing w:before="360" w:after="120"/>
        <w:numPr>
          <w:ilvl w:val="0"/>
          <w:numId w:val="0"/>
        </w:numPr>
      </w:pPr>
      <w:r>
        <w:rPr>
          <w:rFonts w:ascii="Calibri" w:hAnsi="Calibri"/>
          <w:b/>
          <w:color w:val="0F3D91"/>
          <w:sz w:val="36"/>
          <w:szCs w:val="36"/>
        </w:rPr>
        <w:t xml:space="preserve">3.0 Technical Approach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3.1 System Architecture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The Phase II prototype is a five-subsystem integrated printer. Figure 1 shows the layout; descriptions of each subsystem follow.</w:t>
      </w:r>
    </w:p>
    <w:p>
      <w:pPr>
        <w:keepNext w:val="1"/>
        <w:jc w:val="center"/>
      </w:pPr>
      <w:r>
        <w:drawing>
          <wp:inline xmlns:wp="http://schemas.openxmlformats.org/drawingml/2006/wordprocessingDrawing" distT="0" distB="0" distL="0" distR="0">
            <wp:extent cx="5486400" cy="3291839"/>
            <wp:effectExtent l="0" t="0" r="0" b="0"/>
            <wp:docPr id="1" name="Picture 1" descr="Figure 1: System architecture for the Phase II lunar regolith printer. Five interlocking subsystems — feedstock handling, gantry, sintering, dust mitigation, and quality control — deliver an autonomous print lo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 descr="Figure 1: System architecture for the Phase II lunar regolith printer. Five interlocking subsystems — feedstock handling, gantry, sintering, dust mitigation, and quality control — deliver an autonomous print loop."/>
                    <pic:cNvPicPr/>
                  </pic:nvPicPr>
                  <pic:blipFill>
                    <a:blip xmlns:r="http://schemas.openxmlformats.org/officeDocument/2006/relationships"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 w:val="1"/>
        <w:jc w:val="center"/>
        <w:spacing w:after="120"/>
      </w:pPr>
      <w:r>
        <w:rPr>
          <w:rFonts w:ascii="Calibri" w:hAnsi="Calibri"/>
          <w:i/>
          <w:color w:val="999999"/>
          <w:sz w:val="18"/>
          <w:szCs w:val="18"/>
        </w:rPr>
        <w:t xml:space="preserve">Figure 1: System architecture for the Phase II lunar regolith printer. Five interlocking subsystems — feedstock handling, gantry, sintering, dust mitigation, and quality control — deliver an autonomous print loop.</w:t>
      </w:r>
    </w:p>
    <w:p>
      <w:pPr>
        <w:spacing w:after="120"/>
      </w:pP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Feedstock handling</w:t>
      </w:r>
      <w:r>
        <w:rPr>
          <w:rFonts w:ascii="Calibri" w:hAnsi="Calibri"/>
          <w:color w:val="1F2937"/>
          <w:sz w:val="22"/>
          <w:szCs w:val="22"/>
        </w:rPr>
        <w:t xml:space="preserve">. A vibratory hopper meters JSC-1A simulant into a heated buffer that drives off adsorbed water before the powder reaches the print bed. Lunar-relevant grain size distributions (median 70 µm, with 10% sub-20 µm fines) drive the hopper geometry.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Gantry kinematics</w:t>
      </w:r>
      <w:r>
        <w:rPr>
          <w:rFonts w:ascii="Calibri" w:hAnsi="Calibri"/>
          <w:color w:val="1F2937"/>
          <w:sz w:val="22"/>
          <w:szCs w:val="22"/>
        </w:rPr>
        <w:t xml:space="preserve">. A three-axis CoreXY gantry positions the sinter head over the 220 µm-resolution print bed. The gantry is rated for thermal-vacuum operation and uses graphite bushings rather than oil-lubricated bearings to survive the sub-Torr environment.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Sintering</w:t>
      </w:r>
      <w:r>
        <w:rPr>
          <w:rFonts w:ascii="Calibri" w:hAnsi="Calibri"/>
          <w:color w:val="1F2937"/>
          <w:sz w:val="22"/>
          <w:szCs w:val="22"/>
        </w:rPr>
        <w:t xml:space="preserve">. A 250 W diode laser delivers the focused thermal input to the powder bed. The Phase I stepped profile is documented in Aim 1; we extend that profile in Aim 2 for the vacuum-chamber gap.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Dust mitigation</w:t>
      </w:r>
      <w:r>
        <w:rPr>
          <w:rFonts w:ascii="Calibri" w:hAnsi="Calibri"/>
          <w:color w:val="1F2937"/>
          <w:sz w:val="22"/>
          <w:szCs w:val="22"/>
        </w:rPr>
        <w:t xml:space="preserve">. The recoater is a blade-edge design with a purge-gas knife (low-flow, recycled) that re-fluidizes settled fines. This subsystem is the focus of Aim 2.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Quality control</w:t>
      </w:r>
      <w:r>
        <w:rPr>
          <w:rFonts w:ascii="Calibri" w:hAnsi="Calibri"/>
          <w:color w:val="1F2937"/>
          <w:sz w:val="22"/>
          <w:szCs w:val="22"/>
        </w:rPr>
        <w:t xml:space="preserve">. An inline 8 µm thermal camera images each layer post-sinter; layer-level features feed a small CNN classifier trained against metallography ground truth. Aim 3 develops this classifier.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3.2 Scientific Foundations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The approach builds on three demonstrated foundations:</w:t>
      </w:r>
    </w:p>
    <w:p>
      <w:pPr>
        <w:spacing w:after="120"/>
        <w:numPr>
          <w:ilvl w:val="0"/>
          <w:numId w:val="2"/>
        </w:numPr>
      </w:pPr>
      <w:r>
        <w:rPr>
          <w:rFonts w:ascii="Calibri" w:hAnsi="Calibri"/>
          <w:b/>
          <w:color w:val="1F2937"/>
          <w:sz w:val="22"/>
          <w:szCs w:val="22"/>
        </w:rPr>
        <w:t xml:space="preserve">Solid-state sintering kinetics</w:t>
      </w:r>
      <w:r>
        <w:rPr>
          <w:rFonts w:ascii="Calibri" w:hAnsi="Calibri"/>
          <w:color w:val="1F2937"/>
          <w:sz w:val="22"/>
          <w:szCs w:val="22"/>
        </w:rPr>
        <w:t xml:space="preserve"> for binary basaltic glass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systems are well-characterized in the powder-metallurgy literature [2]. Our Phase I profile leverages the iron-rich phase of JSC-1A as a sintering aid.</w:t>
      </w:r>
    </w:p>
    <w:p>
      <w:pPr>
        <w:spacing w:after="120"/>
        <w:numPr>
          <w:ilvl w:val="0"/>
          <w:numId w:val="2"/>
        </w:numPr>
      </w:pPr>
      <w:r>
        <w:rPr>
          <w:rFonts w:ascii="Calibri" w:hAnsi="Calibri"/>
          <w:b/>
          <w:color w:val="1F2937"/>
          <w:sz w:val="22"/>
          <w:szCs w:val="22"/>
        </w:rPr>
        <w:t xml:space="preserve">Vacuum-compatible drive trains</w:t>
      </w:r>
      <w:r>
        <w:rPr>
          <w:rFonts w:ascii="Calibri" w:hAnsi="Calibri"/>
          <w:color w:val="1F2937"/>
          <w:sz w:val="22"/>
          <w:szCs w:val="22"/>
        </w:rPr>
        <w:t xml:space="preserve"> at the scale of a desktop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gantry have flight heritage from cubesat reaction wheel assemblies.</w:t>
      </w:r>
    </w:p>
    <w:p>
      <w:pPr>
        <w:spacing w:after="120"/>
        <w:numPr>
          <w:ilvl w:val="0"/>
          <w:numId w:val="2"/>
        </w:numPr>
      </w:pPr>
      <w:r>
        <w:rPr>
          <w:rFonts w:ascii="Calibri" w:hAnsi="Calibri"/>
          <w:b/>
          <w:color w:val="1F2937"/>
          <w:sz w:val="22"/>
          <w:szCs w:val="22"/>
        </w:rPr>
        <w:t xml:space="preserve">Inline thermal-imaging defect detection</w:t>
      </w:r>
      <w:r>
        <w:rPr>
          <w:rFonts w:ascii="Calibri" w:hAnsi="Calibri"/>
          <w:color w:val="1F2937"/>
          <w:sz w:val="22"/>
          <w:szCs w:val="22"/>
        </w:rPr>
        <w:t xml:space="preserve"> is a mature technique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in industrial metal AM [3]; we adapt the published feature pipeline rather than inventing a new one.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3.3 Key Technical Risks</w:t>
      </w:r>
    </w:p>
    <w:tbl>
      <w:tblPr>
        <w:tblW w:w="5000" w:type="pct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r>
        <w:trPr>
          <w:cantSplit w:val="1"/>
          <w:tblHeader w:val="1"/>
        </w:trPr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Risk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Likelihood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Impact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Mitigation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Coupon strength &lt;25 MPa in vacuum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Medium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High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Stepped profile (Aim 1); fall-back binder-jet path</w:t>
            </w:r>
          </w:p>
        </w:tc>
      </w:tr>
      <w:tr>
        <w:trPr>
          <w:cantSplit w:val="1"/>
        </w:trPr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Recoater binding on fines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High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Medium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Blade redesign + purge knife (Aim 2)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QC false-positive rate too high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Low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Low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Larger training set, ensemble classifier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A more detailed five-row register lives in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tables/risk_register.tsv</w:t>
      </w:r>
      <w:r>
        <w:rPr>
          <w:rFonts w:ascii="Calibri" w:hAnsi="Calibri"/>
          <w:color w:val="1F2937"/>
          <w:sz w:val="22"/>
          <w:szCs w:val="22"/>
        </w:rPr>
        <w:t xml:space="preserve"> and is rendered below in Section 4.2.</w:t>
      </w:r>
    </w:p>
    <w:p>
      <w:pPr>
        <w:pStyle w:val="Heading1"/>
        <w:keepNext w:val="1"/>
        <w:keepLines w:val="1"/>
        <w:spacing w:before="360" w:after="120"/>
        <w:numPr>
          <w:ilvl w:val="0"/>
          <w:numId w:val="0"/>
        </w:numPr>
      </w:pPr>
      <w:r>
        <w:rPr>
          <w:rFonts w:ascii="Calibri" w:hAnsi="Calibri"/>
          <w:b/>
          <w:color w:val="0F3D91"/>
          <w:sz w:val="36"/>
          <w:szCs w:val="36"/>
        </w:rPr>
        <w:t xml:space="preserve">4.0 Project Plan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4.1 Milestone Schedule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Phase II is organized as six bimonthly milestones over 12 months. Each milestone includes a deliverable, a quantitative success criterion, and a go/no-go review. The full schedule lives in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tables/milestones.csv</w:t>
      </w:r>
      <w:r>
        <w:rPr>
          <w:rFonts w:ascii="Calibri" w:hAnsi="Calibri"/>
          <w:color w:val="1F2937"/>
          <w:sz w:val="22"/>
          <w:szCs w:val="22"/>
        </w:rPr>
        <w:t xml:space="preserve"> so any timeline edit happens in one place and propagates to PDF, HTML, and Word builds:</w:t>
      </w:r>
    </w:p>
    <w:tbl>
      <w:tblPr>
        <w:tblW w:w="5000" w:type="pct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r>
        <w:trPr>
          <w:cantSplit w:val="1"/>
          <w:tblHeader w:val="1"/>
        </w:trPr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Milestone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Months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Deliverable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Success Criterion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M1: Vacuum profile sweep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1-2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Sinter parameter map (vacuum)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Coupons at &gt;=25 MPa in vacuum</w:t>
            </w:r>
          </w:p>
        </w:tc>
      </w:tr>
      <w:tr>
        <w:trPr>
          <w:cantSplit w:val="1"/>
        </w:trPr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M2: Recoater redesign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3-4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Blade + purge-knife prototype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&lt;2% recoater bind rate over 50 layers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M3: QC pipeline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5-6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Inline classifier + training set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&gt;=95% sensitivity / &lt;2% FP rate</w:t>
            </w:r>
          </w:p>
        </w:tc>
      </w:tr>
      <w:tr>
        <w:trPr>
          <w:cantSplit w:val="1"/>
        </w:trPr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M4: Integrated print campaign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7-8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Five 200x200x100 mm test articles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All five pass dimensional + strength QC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M5: Environmental stress testing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9-10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Diurnal cycle survival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Test articles pass 30 thermal cycles</w:t>
            </w:r>
          </w:p>
        </w:tc>
      </w:tr>
      <w:tr>
        <w:trPr>
          <w:cantSplit w:val="1"/>
        </w:trPr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M6: Final demonstration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11-12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Flight-qualifiable subsystem package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TRL 6 review with NASA stakeholders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4.2 Risk Register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The five-row engineering risk register, expanded from Section 3.3, is loaded from a TSV so individual rows can be edited without touching markdown:</w:t>
      </w:r>
    </w:p>
    <w:tbl>
      <w:tblPr>
        <w:tblW w:w="5000" w:type="pct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r>
        <w:trPr>
          <w:cantSplit w:val="1"/>
          <w:tblHeader w:val="1"/>
        </w:trPr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Risk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Likelihood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Impact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Mitigation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Owner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Coupon strength below 25 MPa in vacuum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Medium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High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Stepped profile (Aim 1); binder-jet fallback path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PI</w:t>
            </w:r>
          </w:p>
        </w:tc>
      </w:tr>
      <w:tr>
        <w:trPr>
          <w:cantSplit w:val="1"/>
        </w:trPr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Recoater binding on lunar fines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High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Medium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Blade redesign + purge knife (Aim 2)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Co-I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QC false-positive rate exceeds 2%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Low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Low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Larger training set, ensemble classifier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Consultant</w:t>
            </w:r>
          </w:p>
        </w:tc>
      </w:tr>
      <w:tr>
        <w:trPr>
          <w:cantSplit w:val="1"/>
        </w:trPr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Gantry bushing failure under cycling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Medium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Medium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Graphite bushings; quarterly inspection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Co-I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Schedule slip on M3 integration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Medium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Medium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M3 has float; M4 demonstration scope flexible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PI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4.3 Team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The PI (materials engineering, additive manufacturing) and Co-Investigator (vacuum-compatible drive train design) each contribute 20% effort across the 12 months. A graduate student (40% effort) executes the bench experiments under PI supervision. A consulting expert in inline thermal-imaging QC supports Aim 3 at 40 hours over the full period.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4.4 Facilities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All work runs in the Example Institute of Selenology vacuum-chamber facility (10</w:t>
      </w:r>
      <w:r>
        <w:rPr>
          <w:rFonts w:ascii="Calibri" w:hAnsi="Calibri"/>
          <w:color w:val="1F2937"/>
          <w:sz w:val="22"/>
          <w:szCs w:val="22"/>
          <w:vertAlign w:val="superscript"/>
        </w:rPr>
        <w:t xml:space="preserve">-9</w:t>
      </w:r>
      <w:r>
        <w:rPr>
          <w:rFonts w:ascii="Calibri" w:hAnsi="Calibri"/>
          <w:color w:val="1F2937"/>
          <w:sz w:val="22"/>
          <w:szCs w:val="22"/>
        </w:rPr>
        <w:t xml:space="preserve"> Torr base pressure, 1 m × 1 m working volume), with metallography and mechanical-test infrastructure co-located. No subcontracted facilities are required.</w:t>
      </w:r>
    </w:p>
    <w:p>
      <w:pPr>
        <w:pStyle w:val="Heading1"/>
        <w:keepNext w:val="1"/>
        <w:keepLines w:val="1"/>
        <w:spacing w:before="360" w:after="120"/>
        <w:numPr>
          <w:ilvl w:val="0"/>
          <w:numId w:val="0"/>
        </w:numPr>
      </w:pPr>
      <w:r>
        <w:rPr>
          <w:rFonts w:ascii="Calibri" w:hAnsi="Calibri"/>
          <w:b/>
          <w:color w:val="0F3D91"/>
          <w:sz w:val="36"/>
          <w:szCs w:val="36"/>
        </w:rPr>
        <w:t xml:space="preserve">5.0 Broader Impact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5.1 Mission Relevance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A Phase II-qualified ISRU printer reduces the launch mass of the first permanent lunar habitat by ≥40% by replacing structural cargo with regolith-printed elements. The same technology generalizes directly to Mars surface operations using basaltic regolith analogues — the printer hardware is identical; only the sinter profile changes.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5.2 Commercialization Pathway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Beyond the immediate NASA mission application, the Phase II prototype provides the technology base for two commercial trajectories:</w:t>
      </w:r>
    </w:p>
    <w:p>
      <w:pPr>
        <w:spacing w:after="120"/>
        <w:numPr>
          <w:ilvl w:val="0"/>
          <w:numId w:val="1"/>
        </w:numPr>
      </w:pPr>
      <w:r>
        <w:rPr>
          <w:rFonts w:ascii="Calibri" w:hAnsi="Calibri"/>
          <w:b/>
          <w:color w:val="1F2937"/>
          <w:sz w:val="22"/>
          <w:szCs w:val="22"/>
        </w:rPr>
        <w:t xml:space="preserve">Terrestrial vacuum AM</w:t>
      </w:r>
      <w:r>
        <w:rPr>
          <w:rFonts w:ascii="Calibri" w:hAnsi="Calibri"/>
          <w:color w:val="1F2937"/>
          <w:sz w:val="22"/>
          <w:szCs w:val="22"/>
        </w:rPr>
        <w:t xml:space="preserve">: industrial customers in semiconductor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packaging and aerospace turbine components increasingly demand vacuum-compatible printers; our gantry IP transfers directly.</w:t>
      </w:r>
    </w:p>
    <w:p>
      <w:pPr>
        <w:spacing w:after="120"/>
        <w:numPr>
          <w:ilvl w:val="0"/>
          <w:numId w:val="1"/>
        </w:numPr>
      </w:pPr>
      <w:r>
        <w:rPr>
          <w:rFonts w:ascii="Calibri" w:hAnsi="Calibri"/>
          <w:b/>
          <w:color w:val="1F2937"/>
          <w:sz w:val="22"/>
          <w:szCs w:val="22"/>
        </w:rPr>
        <w:t xml:space="preserve">Lunar economy services</w:t>
      </w:r>
      <w:r>
        <w:rPr>
          <w:rFonts w:ascii="Calibri" w:hAnsi="Calibri"/>
          <w:color w:val="1F2937"/>
          <w:sz w:val="22"/>
          <w:szCs w:val="22"/>
        </w:rPr>
        <w:t xml:space="preserve">: as launch cadence increases, on-surface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construction-as-a-service becomes a real market. The printer is the enabling capability.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5.3 Knowledge Transfer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All sintering profiles, gantry CAD, and QC training data developed under Phase II are released as a permissively-licensed reference design at the program's conclusion, with the explicit goal of seeding a domestic ISRU supply chain.</w:t>
      </w:r>
    </w:p>
    <w:p>
      <w:r>
        <w:br w:type="page"/>
      </w:r>
    </w:p>
    <w:p>
      <w:pPr>
        <w:pStyle w:val="Heading1"/>
        <w:keepNext w:val="1"/>
        <w:keepLines w:val="1"/>
        <w:spacing w:before="360" w:after="120"/>
        <w:numPr>
          <w:ilvl w:val="0"/>
          <w:numId w:val="0"/>
        </w:numPr>
      </w:pPr>
      <w:r>
        <w:rPr>
          <w:rFonts w:ascii="Calibri" w:hAnsi="Calibri"/>
          <w:b/>
          <w:color w:val="0F3D91"/>
          <w:sz w:val="36"/>
          <w:szCs w:val="36"/>
        </w:rPr>
        <w:t xml:space="preserve">References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[1] </w:t>
      </w:r>
      <w:r>
        <w:rPr>
          <w:rFonts w:ascii="Calibri" w:hAnsi="Calibri"/>
          <w:b/>
          <w:color w:val="1F2937"/>
          <w:sz w:val="22"/>
          <w:szCs w:val="22"/>
        </w:rPr>
        <w:t xml:space="preserve">Principal Investigator, Co-Investigator. </w:t>
      </w:r>
      <w:r>
        <w:rPr>
          <w:rFonts w:ascii="Calibri" w:hAnsi="Calibri"/>
          <w:color w:val="1F2937"/>
          <w:sz w:val="22"/>
          <w:szCs w:val="22"/>
        </w:rPr>
        <w:t xml:space="preserve">Phase I Final Report: Lunar Regolith Sintering Feasibility. </w:t>
      </w:r>
      <w:r>
        <w:rPr>
          <w:rFonts w:ascii="Calibri" w:hAnsi="Calibri"/>
          <w:color w:val="1F2937"/>
          <w:sz w:val="22"/>
          <w:szCs w:val="22"/>
        </w:rPr>
        <w:t xml:space="preserve">(2026). 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[2] </w:t>
      </w:r>
      <w:r>
        <w:rPr>
          <w:rFonts w:ascii="Calibri" w:hAnsi="Calibri"/>
          <w:b/>
          <w:color w:val="1F2937"/>
          <w:sz w:val="22"/>
          <w:szCs w:val="22"/>
        </w:rPr>
        <w:t xml:space="preserve">Jiwon Park, Rania Hassan, Luis Vasquez. </w:t>
      </w:r>
      <w:r>
        <w:rPr>
          <w:rFonts w:ascii="Calibri" w:hAnsi="Calibri"/>
          <w:color w:val="1F2937"/>
          <w:sz w:val="22"/>
          <w:szCs w:val="22"/>
        </w:rPr>
        <w:t xml:space="preserve">Solid-State Sintering Kinetics of Iron-Bearing Basaltic Regolith Simulants. </w:t>
      </w:r>
      <w:r>
        <w:rPr>
          <w:rFonts w:ascii="Calibri" w:hAnsi="Calibri"/>
          <w:i/>
          <w:color w:val="1F2937"/>
          <w:sz w:val="22"/>
          <w:szCs w:val="22"/>
        </w:rPr>
        <w:t xml:space="preserve">Journal of Lunar Materials Engineering</w:t>
      </w:r>
      <w:r>
        <w:rPr>
          <w:rFonts w:ascii="Calibri" w:hAnsi="Calibri"/>
          <w:color w:val="1F2937"/>
          <w:sz w:val="22"/>
          <w:szCs w:val="22"/>
        </w:rPr>
        <w:t xml:space="preserve"> 18(3), 214–231 (2024)</w:t>
      </w:r>
      <w:r>
        <w:rPr>
          <w:rFonts w:ascii="Calibri" w:hAnsi="Calibri"/>
          <w:color w:val="1F2937"/>
          <w:sz w:val="22"/>
          <w:szCs w:val="22"/>
        </w:rPr>
        <w:t xml:space="preserve">. </w:t>
      </w:r>
      <w:r>
        <w:rPr>
          <w:rFonts w:ascii="Calibri" w:hAnsi="Calibri"/>
          <w:color w:val="1155CC"/>
          <w:sz w:val="22"/>
          <w:szCs w:val="22"/>
        </w:rPr>
        <w:t xml:space="preserve">https://doi.org/10.1234/jlme.2024.0218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[3] </w:t>
      </w:r>
      <w:r>
        <w:rPr>
          <w:rFonts w:ascii="Calibri" w:hAnsi="Calibri"/>
          <w:b/>
          <w:color w:val="1F2937"/>
          <w:sz w:val="22"/>
          <w:szCs w:val="22"/>
        </w:rPr>
        <w:t xml:space="preserve">Adaeze Okonkwo, Per Lindqvist. </w:t>
      </w:r>
      <w:r>
        <w:rPr>
          <w:rFonts w:ascii="Calibri" w:hAnsi="Calibri"/>
          <w:color w:val="1F2937"/>
          <w:sz w:val="22"/>
          <w:szCs w:val="22"/>
        </w:rPr>
        <w:t xml:space="preserve">Inline Thermal-Imaging Defect Detection in Powder-Bed Metal Additive Manufacturing: A Practitioner Survey. </w:t>
      </w:r>
      <w:r>
        <w:rPr>
          <w:rFonts w:ascii="Calibri" w:hAnsi="Calibri"/>
          <w:i/>
          <w:color w:val="1F2937"/>
          <w:sz w:val="22"/>
          <w:szCs w:val="22"/>
        </w:rPr>
        <w:t xml:space="preserve">Proceedings of the International Conference on Additive Manufacturing</w:t>
      </w:r>
      <w:r>
        <w:rPr>
          <w:rFonts w:ascii="Calibri" w:hAnsi="Calibri"/>
          <w:color w:val="1F2937"/>
          <w:sz w:val="22"/>
          <w:szCs w:val="22"/>
        </w:rPr>
        <w:t xml:space="preserve">, 88–104 (2023)</w:t>
      </w:r>
      <w:r>
        <w:rPr>
          <w:rFonts w:ascii="Calibri" w:hAnsi="Calibri"/>
          <w:color w:val="1F2937"/>
          <w:sz w:val="22"/>
          <w:szCs w:val="22"/>
        </w:rPr>
        <w:t xml:space="preserve">. </w:t>
      </w:r>
      <w:r>
        <w:rPr>
          <w:rFonts w:ascii="Calibri" w:hAnsi="Calibri"/>
          <w:color w:val="1155CC"/>
          <w:sz w:val="22"/>
          <w:szCs w:val="22"/>
        </w:rPr>
        <w:t xml:space="preserve">https://doi.org/10.5678/icam.2023.011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i/>
        <w:color w:val="888888"/>
        <w:sz w:val="18"/>
      </w:rPr>
      <w:t>Built with document-sanity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pBdr>
        <w:bottom w:val="single" w:sz="6" w:space="4" w:color="0F3D91"/>
      </w:pBdr>
    </w:pPr>
    <w:r/>
    <w:r>
      <w:drawing>
        <wp:inline xmlns:a="http://schemas.openxmlformats.org/drawingml/2006/main" xmlns:pic="http://schemas.openxmlformats.org/drawingml/2006/picture">
          <wp:extent cx="1371600" cy="3657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365760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color w:val="555555"/>
        <w:sz w:val="20"/>
      </w:rPr>
      <w:t xml:space="preserve">Page </w:t>
    </w:r>
    <w:r>
      <w:rPr>
        <w:color w:val="555555"/>
        <w:sz w:val="20"/>
      </w:rPr>
      <w:fldChar w:fldCharType="begin"/>
      <w:instrText xml:space="preserve"> PAGE </w:instrText>
      <w:fldChar w:fldCharType="end"/>
    </w:r>
    <w:r>
      <w:rPr>
        <w:color w:val="555555"/>
        <w:sz w:val="20"/>
      </w:rPr>
      <w:t xml:space="preserve"> of </w:t>
    </w:r>
    <w:r>
      <w:rPr>
        <w:color w:val="555555"/>
        <w:sz w:val="20"/>
      </w:rPr>
      <w:fldChar w:fldCharType="begin"/>
      <w:instrText xml:space="preserve"> NUMPAGES </w:instrText>
      <w:fldChar w:fldCharType="end"/>
    </w:r>
  </w:p>
  <w:p>
    <w:r>
      <w:drawing>
        <wp:anchor xmlns:a="http://schemas.openxmlformats.org/drawingml/2006/main" distT="0" distB="0" distL="0" distR="0" simplePos="0" relativeHeight="251659264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486400" cy="5486400"/>
          <wp:effectExtent l="0" t="0" r="0" b="0"/>
          <wp:wrapNone/>
          <wp:docPr id="999" name="Watermark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waterma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486400" cy="5486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w14="http://schemas.microsoft.com/office/word/2010/wordml" xmlns:w15="http://schemas.microsoft.com/office/word/2012/wordml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  <w:color w:val="1F2937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  <w:color w:val="1F2937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F3D9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E55B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33333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3D9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  <w:jc w:val="center"/>
    </w:pPr>
    <w:rPr>
      <w:rFonts w:ascii="Calibri" w:hAnsi="Calibri"/>
      <w:b/>
      <w:bCs/>
      <w:i/>
      <w:color w:val="555555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ode">
    <w:name w:val="Code"/>
    <w:rPr>
      <w:rFonts w:ascii="Consolas" w:hAnsi="Consolas"/>
      <w:color w:val="882244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Img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