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itle"/>
        <w:jc w:val="center"/>
        <w:numPr>
          <w:ilvl w:val="0"/>
          <w:numId w:val="0"/>
        </w:numPr>
      </w:pPr>
      <w:r>
        <w:rPr>
          <w:rFonts w:ascii="Calibri" w:hAnsi="Calibri"/>
          <w:b/>
          <w:color w:val="0F3D91"/>
          <w:sz w:val="52"/>
          <w:szCs w:val="52"/>
        </w:rPr>
        <w:t xml:space="preserve">A Starter Manuscript Built with document-sanity</w:t>
      </w:r>
    </w:p>
    <w:p>
      <w:pPr>
        <w:jc w:val="center"/>
        <w:spacing w:after="120"/>
      </w:pPr>
      <w:r>
        <w:rPr>
          <w:rFonts w:ascii="Calibri" w:hAnsi="Calibri"/>
          <w:i/>
          <w:color w:val="1F2937"/>
          <w:sz w:val="22"/>
          <w:szCs w:val="22"/>
        </w:rPr>
        <w:t xml:space="preserve">First Author (1); Second Author (1,2)</w:t>
      </w:r>
    </w:p>
    <w:p>
      <w:pPr>
        <w:jc w:val="center"/>
        <w:spacing w:after="120"/>
      </w:pPr>
      <w:r>
        <w:rPr>
          <w:rFonts w:ascii="Calibri" w:hAnsi="Calibri"/>
          <w:color w:val="666666"/>
          <w:sz w:val="20"/>
          <w:szCs w:val="20"/>
        </w:rPr>
        <w:t xml:space="preserve">[1] Department of Research, Example University</w:t>
      </w:r>
    </w:p>
    <w:p>
      <w:pPr>
        <w:jc w:val="center"/>
        <w:spacing w:after="120"/>
      </w:pPr>
      <w:r>
        <w:rPr>
          <w:rFonts w:ascii="Calibri" w:hAnsi="Calibri"/>
          <w:color w:val="666666"/>
          <w:sz w:val="20"/>
          <w:szCs w:val="20"/>
        </w:rPr>
        <w:t xml:space="preserve">[2] Department of Collaboration, Partner Institute</w:t>
      </w:r>
    </w:p>
    <w:p>
      <w:pPr>
        <w:spacing w:after="120"/>
      </w:pPr>
      <w:r>
        <w:t xml:space="preserve"/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Abstract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We analyzed 1,247 samples and found a significant effect (</w:t>
      </w:r>
      <w:r>
        <w:rPr>
          <w:rFonts w:ascii="Calibri" w:hAnsi="Calibri"/>
          <w:i/>
          <w:color w:val="1F2937"/>
          <w:sz w:val="22"/>
          <w:szCs w:val="22"/>
        </w:rPr>
        <w:t xml:space="preserve">p = 8.70e-03</w:t>
      </w:r>
      <w:r>
        <w:rPr>
          <w:rFonts w:ascii="Calibri" w:hAnsi="Calibri"/>
          <w:color w:val="1F2937"/>
          <w:sz w:val="22"/>
          <w:szCs w:val="22"/>
        </w:rPr>
        <w:t xml:space="preserve">, R</w:t>
      </w:r>
      <w:r>
        <w:rPr>
          <w:rFonts w:ascii="Calibri" w:hAnsi="Calibri"/>
          <w:color w:val="1F2937"/>
          <w:sz w:val="22"/>
          <w:szCs w:val="22"/>
          <w:vertAlign w:val="superscript"/>
        </w:rPr>
        <w:t xml:space="preserve">2</w:t>
      </w:r>
      <w:r>
        <w:rPr>
          <w:rFonts w:ascii="Calibri" w:hAnsi="Calibri"/>
          <w:color w:val="1F2937"/>
          <w:sz w:val="22"/>
          <w:szCs w:val="22"/>
        </w:rPr>
        <w:t xml:space="preserve"> = 0.87). This abstract demonstrates the {{VARIABLE}} token substitution syntax; see the sections for more examples.</w:t>
      </w:r>
    </w:p>
    <w:p>
      <w:pPr>
        <w:spacing w:after="120"/>
      </w:pPr>
      <w:r>
        <w:rPr>
          <w:rFonts w:ascii="Calibri" w:hAnsi="Calibri"/>
          <w:b/>
          <w:color w:val="1F2937"/>
          <w:sz w:val="22"/>
          <w:szCs w:val="22"/>
        </w:rPr>
        <w:t xml:space="preserve">Keywords: </w:t>
      </w:r>
      <w:r>
        <w:rPr>
          <w:rFonts w:ascii="Calibri" w:hAnsi="Calibri"/>
          <w:color w:val="1F2937"/>
          <w:sz w:val="22"/>
          <w:szCs w:val="22"/>
        </w:rPr>
        <w:t xml:space="preserve">example, template, markdown, document-sanity</w:t>
      </w:r>
    </w:p>
    <w:p>
      <w:pPr>
        <w:spacing w:after="120"/>
      </w:pPr>
      <w:r>
        <w:t xml:space="preserve"/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Introduction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Welcome to the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document-sanity</w:t>
      </w:r>
      <w:r>
        <w:rPr>
          <w:rFonts w:ascii="Calibri" w:hAnsi="Calibri"/>
          <w:color w:val="1F2937"/>
          <w:sz w:val="22"/>
          <w:szCs w:val="22"/>
        </w:rPr>
        <w:t xml:space="preserve"> starter template. This paragraph demonstrates </w:t>
      </w:r>
      <w:r>
        <w:rPr>
          <w:rFonts w:ascii="Calibri" w:hAnsi="Calibri"/>
          <w:b/>
          <w:color w:val="1F2937"/>
          <w:sz w:val="22"/>
          <w:szCs w:val="22"/>
        </w:rPr>
        <w:t xml:space="preserve">bold</w:t>
      </w:r>
      <w:r>
        <w:rPr>
          <w:rFonts w:ascii="Calibri" w:hAnsi="Calibri"/>
          <w:color w:val="1F2937"/>
          <w:sz w:val="22"/>
          <w:szCs w:val="22"/>
        </w:rPr>
        <w:t xml:space="preserve">, </w:t>
      </w:r>
      <w:r>
        <w:rPr>
          <w:rFonts w:ascii="Calibri" w:hAnsi="Calibri"/>
          <w:i/>
          <w:color w:val="1F2937"/>
          <w:sz w:val="22"/>
          <w:szCs w:val="22"/>
        </w:rPr>
        <w:t xml:space="preserve">italic</w:t>
      </w:r>
      <w:r>
        <w:rPr>
          <w:rFonts w:ascii="Calibri" w:hAnsi="Calibri"/>
          <w:color w:val="1F2937"/>
          <w:sz w:val="22"/>
          <w:szCs w:val="22"/>
        </w:rPr>
        <w:t xml:space="preserve">,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inline code</w:t>
      </w:r>
      <w:r>
        <w:rPr>
          <w:rFonts w:ascii="Calibri" w:hAnsi="Calibri"/>
          <w:color w:val="1F2937"/>
          <w:sz w:val="22"/>
          <w:szCs w:val="22"/>
        </w:rPr>
        <w:t xml:space="preserve">, and inline math: </w:t>
      </w:r>
      <w:r>
        <w:rPr>
          <w:rFonts w:ascii="Calibri" w:hAnsi="Calibri"/>
          <w:i/>
          <w:color w:val="1F2937"/>
          <w:sz w:val="22"/>
          <w:szCs w:val="22"/>
        </w:rPr>
        <w:t xml:space="preserve">E = mc^2</w:t>
      </w:r>
      <w:r>
        <w:rPr>
          <w:rFonts w:ascii="Calibri" w:hAnsi="Calibri"/>
          <w:color w:val="1F2937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Variable substitution happens at build time — we have 1,247 samples in total, achieving an overall R</w:t>
      </w:r>
      <w:r>
        <w:rPr>
          <w:rFonts w:ascii="Calibri" w:hAnsi="Calibri"/>
          <w:color w:val="1F2937"/>
          <w:sz w:val="22"/>
          <w:szCs w:val="22"/>
          <w:vertAlign w:val="superscript"/>
        </w:rPr>
        <w:t xml:space="preserve">2</w:t>
      </w:r>
      <w:r>
        <w:rPr>
          <w:rFonts w:ascii="Calibri" w:hAnsi="Calibri"/>
          <w:color w:val="1F2937"/>
          <w:sz w:val="22"/>
          <w:szCs w:val="22"/>
        </w:rPr>
        <w:t xml:space="preserve"> of 0.87 (</w:t>
      </w:r>
      <w:r>
        <w:rPr>
          <w:rFonts w:ascii="Calibri" w:hAnsi="Calibri"/>
          <w:i/>
          <w:color w:val="1F2937"/>
          <w:sz w:val="22"/>
          <w:szCs w:val="22"/>
        </w:rPr>
        <w:t xml:space="preserve">p = 8.70e-03</w:t>
      </w:r>
      <w:r>
        <w:rPr>
          <w:rFonts w:ascii="Calibri" w:hAnsi="Calibri"/>
          <w:color w:val="1F2937"/>
          <w:sz w:val="22"/>
          <w:szCs w:val="22"/>
        </w:rPr>
        <w:t xml:space="preserve">). In the HTML viewer, clicking those values pops up their provenance (source files, command, updated date) because the manifest declares a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provenance:</w:t>
      </w:r>
      <w:r>
        <w:rPr>
          <w:rFonts w:ascii="Calibri" w:hAnsi="Calibri"/>
          <w:color w:val="1F2937"/>
          <w:sz w:val="22"/>
          <w:szCs w:val="22"/>
        </w:rPr>
        <w:t xml:space="preserve"> block for them.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Cite with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[1]</w:t>
      </w:r>
      <w:r>
        <w:rPr>
          <w:rFonts w:ascii="Calibri" w:hAnsi="Calibri"/>
          <w:color w:val="1F2937"/>
          <w:sz w:val="22"/>
          <w:szCs w:val="22"/>
        </w:rPr>
        <w:t xml:space="preserve"> — the HTML viewer will number it and link to the rendered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&lt;li&gt;</w:t>
      </w:r>
      <w:r>
        <w:rPr>
          <w:rFonts w:ascii="Calibri" w:hAnsi="Calibri"/>
          <w:color w:val="1F2937"/>
          <w:sz w:val="22"/>
          <w:szCs w:val="22"/>
        </w:rPr>
        <w:t xml:space="preserve"> in the references section: [2].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Cross-reference with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...</w:t>
      </w:r>
      <w:r>
        <w:rPr>
          <w:rFonts w:ascii="Calibri" w:hAnsi="Calibri"/>
          <w:color w:val="1F2937"/>
          <w:sz w:val="22"/>
          <w:szCs w:val="22"/>
        </w:rPr>
        <w:t xml:space="preserve"> — see Figure 1 for the framework overview, and the method details in Section 2.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Background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Lists work as you'd expect: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First bullet item.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Second item with </w:t>
      </w:r>
      <w:r>
        <w:rPr>
          <w:rFonts w:ascii="Calibri" w:hAnsi="Calibri"/>
          <w:i/>
          <w:color w:val="1F2937"/>
          <w:sz w:val="22"/>
          <w:szCs w:val="22"/>
        </w:rPr>
        <w:t xml:space="preserve">formatted</w:t>
      </w:r>
      <w:r>
        <w:rPr>
          <w:rFonts w:ascii="Calibri" w:hAnsi="Calibri"/>
          <w:color w:val="1F2937"/>
          <w:sz w:val="22"/>
          <w:szCs w:val="22"/>
        </w:rPr>
        <w:t xml:space="preserve"> text and a link.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Third item with a reference to [3].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Numbered steps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color w:val="1F2937"/>
          <w:sz w:val="22"/>
          <w:szCs w:val="22"/>
        </w:rPr>
        <w:t xml:space="preserve">Install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document-sanity</w:t>
      </w:r>
      <w:r>
        <w:rPr>
          <w:rFonts w:ascii="Calibri" w:hAnsi="Calibri"/>
          <w:color w:val="1F2937"/>
          <w:sz w:val="22"/>
          <w:szCs w:val="22"/>
        </w:rPr>
        <w:t xml:space="preserve"> (see README).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color w:val="1F2937"/>
          <w:sz w:val="22"/>
          <w:szCs w:val="22"/>
        </w:rPr>
        <w:t xml:space="preserve">Edit this file or add new sections.</w:t>
      </w:r>
    </w:p>
    <w:p>
      <w:pPr>
        <w:spacing w:after="120"/>
        <w:numPr>
          <w:ilvl w:val="0"/>
          <w:numId w:val="2"/>
        </w:numPr>
      </w:pPr>
      <w:r>
        <w:rPr>
          <w:rFonts w:ascii="Calibri" w:hAnsi="Calibri"/>
          <w:color w:val="1F2937"/>
          <w:sz w:val="22"/>
          <w:szCs w:val="22"/>
        </w:rPr>
        <w:t xml:space="preserve">Run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make html</w:t>
      </w:r>
      <w:r>
        <w:rPr>
          <w:rFonts w:ascii="Calibri" w:hAnsi="Calibri"/>
          <w:color w:val="1F2937"/>
          <w:sz w:val="22"/>
          <w:szCs w:val="22"/>
        </w:rPr>
        <w:t xml:space="preserve"> to preview,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make pdf</w:t>
      </w:r>
      <w:r>
        <w:rPr>
          <w:rFonts w:ascii="Calibri" w:hAnsi="Calibri"/>
          <w:color w:val="1F2937"/>
          <w:sz w:val="22"/>
          <w:szCs w:val="22"/>
        </w:rPr>
        <w:t xml:space="preserve"> to export.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Methods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Methods are written in plain markdown with LaTeX pass-through for anything complex — figures, tables, multi-line equations.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Math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Inline math like </w:t>
      </w:r>
      <w:r>
        <w:rPr>
          <w:rFonts w:ascii="Calibri" w:hAnsi="Calibri"/>
          <w:i/>
          <w:color w:val="1F2937"/>
          <w:sz w:val="22"/>
          <w:szCs w:val="22"/>
        </w:rPr>
        <w:t xml:space="preserve">\text{Pr}(x \mid \theta)</w:t>
      </w:r>
      <w:r>
        <w:rPr>
          <w:rFonts w:ascii="Calibri" w:hAnsi="Calibri"/>
          <w:color w:val="1F2937"/>
          <w:sz w:val="22"/>
          <w:szCs w:val="22"/>
        </w:rPr>
        <w:t xml:space="preserve"> uses the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\prob</w:t>
      </w:r>
      <w:r>
        <w:rPr>
          <w:rFonts w:ascii="Calibri" w:hAnsi="Calibri"/>
          <w:color w:val="1F2937"/>
          <w:sz w:val="22"/>
          <w:szCs w:val="22"/>
        </w:rPr>
        <w:t xml:space="preserve"> macro defined in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templates/article.tex</w:t>
      </w:r>
      <w:r>
        <w:rPr>
          <w:rFonts w:ascii="Calibri" w:hAnsi="Calibri"/>
          <w:color w:val="1F2937"/>
          <w:sz w:val="22"/>
          <w:szCs w:val="22"/>
        </w:rPr>
        <w:t xml:space="preserve">. The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document-sanity preview</w:t>
      </w:r>
      <w:r>
        <w:rPr>
          <w:rFonts w:ascii="Calibri" w:hAnsi="Calibri"/>
          <w:color w:val="1F2937"/>
          <w:sz w:val="22"/>
          <w:szCs w:val="22"/>
        </w:rPr>
        <w:t xml:space="preserve"> command auto-expands such macros inside math when it emits the markdown-preview blocks, so GitHub's KaTeX renders them too.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Display math:</w:t>
      </w:r>
    </w:p>
    <w:p>
      <w:pPr>
        <w:jc w:val="center"/>
        <w:spacing w:after="120"/>
      </w:pPr>
      <w:r>
        <w:rPr>
          <w:rFonts w:ascii="Consolas" w:hAnsi="Consolas"/>
          <w:i/>
          <w:color w:val="1F2937"/>
          <w:sz w:val="20"/>
          <w:szCs w:val="20"/>
        </w:rPr>
        <w:t xml:space="preserve">\log \frac{y_i}{1 - y_i} = \sum_j X_{ij} \beta_j + \alpha_i + \log \frac{\pi}{1 - \pi}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Or, for fuller control, wrap in a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/>
      </w:r>
      <w:r>
        <w:rPr>
          <w:rFonts w:ascii="Calibri" w:hAnsi="Calibri"/>
          <w:color w:val="1F2937"/>
          <w:sz w:val="22"/>
          <w:szCs w:val="22"/>
        </w:rPr>
        <w:t xml:space="preserve">`latex block:</w:t>
      </w:r>
    </w:p>
    <w:p>
      <w:pPr>
        <w:jc w:val="center"/>
        <w:spacing w:after="120"/>
      </w:pPr>
      <w:r>
        <w:rPr>
          <w:rFonts w:ascii="Consolas" w:hAnsi="Consolas"/>
          <w:i/>
          <w:color w:val="1F2937"/>
          <w:sz w:val="20"/>
          <w:szCs w:val="20"/>
        </w:rPr>
        <w:t xml:space="preserve">\Pr(d \mid \mathcal{D}) = \frac{\Pr(\mathcal{D} \mid d)\,\Pr(d)}{\Pr(\mathcal{D})}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Reference it with Equation 1.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Figures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Reference manifest-declared figures with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\includegraphics[width=\textwidth]{figures/example.png}</w:t>
      </w:r>
      <w:r>
        <w:rPr>
          <w:rFonts w:ascii="Calibri" w:hAnsi="Calibri"/>
          <w:color w:val="1F2937"/>
          <w:sz w:val="22"/>
          <w:szCs w:val="22"/>
        </w:rPr>
        <w:t xml:space="preserve">:</w:t>
      </w:r>
    </w:p>
    <w:p>
      <w:pPr>
        <w:keepNext w:val="1"/>
        <w:jc w:val="center"/>
      </w:pPr>
      <w:r>
        <w:drawing>
          <wp:inline xmlns:wp="http://schemas.openxmlformats.org/drawingml/2006/wordprocessingDrawing" distT="0" distB="0" distL="0" distR="0">
            <wp:extent cx="5486400" cy="3086099"/>
            <wp:effectExtent l="0" t="0" r="0" b="0"/>
            <wp:docPr id="1" name="Picture 1" descr="Figure 1: Framework overview. Replace this image with your own by dropping a file into \texttt{src/VERSION/figures/example/example.png} (or .pdf, .html, .svg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Figure 1: Framework overview. Replace this image with your own by dropping a file into \texttt{src/VERSION/figures/example/example.png} (or .pdf, .html, .svg).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 w:val="1"/>
        <w:jc w:val="center"/>
        <w:spacing w:after="120"/>
      </w:pPr>
      <w:r>
        <w:rPr>
          <w:rFonts w:ascii="Calibri" w:hAnsi="Calibri"/>
          <w:i/>
          <w:color w:val="999999"/>
          <w:sz w:val="18"/>
          <w:szCs w:val="18"/>
        </w:rPr>
        <w:t xml:space="preserve">Figure 1: Framework overview. Replace this image with your own by dropping a file into \texttt{src/VERSION/figures/example/example.png} (or .pdf, .html, .svg).</w:t>
      </w:r>
    </w:p>
    <w:p>
      <w:pPr>
        <w:spacing w:after="120"/>
      </w:pP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Or, for figures you won't reference from other places, inline an image:</w:t>
      </w:r>
    </w:p>
    <w:p>
      <w:pPr>
        <w:spacing w:after="120"/>
      </w:pPr>
      <w:r>
        <w:rPr>
          <w:rFonts w:ascii="Consolas" w:hAnsi="Consolas"/>
          <w:color w:val="1F2937"/>
          <w:sz w:val="20"/>
          <w:szCs w:val="20"/>
        </w:rPr>
        <w:t xml:space="preserve">![Example caption.](../figures/example/example.png)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See docs/figures.md for the full figure layout conventions.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Tables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Simple tables — write them in native markdown: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Condition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Mean ± SD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Control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420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1.24 ± 0.18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Treatment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827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1.51 ± 0.22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builder converts these to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\begin{tabular}</w:t>
      </w:r>
      <w:r>
        <w:rPr>
          <w:rFonts w:ascii="Calibri" w:hAnsi="Calibri"/>
          <w:color w:val="1F2937"/>
          <w:sz w:val="22"/>
          <w:szCs w:val="22"/>
        </w:rPr>
        <w:t xml:space="preserve"> for LaTeX and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&lt;table class="md-table"&gt;</w:t>
      </w:r>
      <w:r>
        <w:rPr>
          <w:rFonts w:ascii="Calibri" w:hAnsi="Calibri"/>
          <w:color w:val="1F2937"/>
          <w:sz w:val="22"/>
          <w:szCs w:val="22"/>
        </w:rPr>
        <w:t xml:space="preserve"> for HTML.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Complex tables (multi-column headers,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\cmidrule</w:t>
      </w:r>
      <w:r>
        <w:rPr>
          <w:rFonts w:ascii="Calibri" w:hAnsi="Calibri"/>
          <w:color w:val="1F2937"/>
          <w:sz w:val="22"/>
          <w:szCs w:val="22"/>
        </w:rPr>
        <w:t xml:space="preserve">, subtables) belong in a fenced LaTeX block:</w:t>
      </w:r>
    </w:p>
    <w:p>
      <w:pPr>
        <w:spacing w:after="120"/>
      </w:pPr>
      <w:r>
        <w:rPr>
          <w:rFonts w:ascii="Calibri" w:hAnsi="Calibri"/>
          <w:i/>
          <w:color w:val="1F2937"/>
          <w:sz w:val="22"/>
          <w:szCs w:val="22"/>
        </w:rPr>
        <w:t xml:space="preserve">(table — Example complex table.)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Reference the table above: Table 1.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Results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Put your findings here. Lean on variable substitution — if every number in the paper comes from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manifest.yaml</w:t>
      </w:r>
      <w:r>
        <w:rPr>
          <w:rFonts w:ascii="Calibri" w:hAnsi="Calibri"/>
          <w:color w:val="1F2937"/>
          <w:sz w:val="22"/>
          <w:szCs w:val="22"/>
        </w:rPr>
        <w:t xml:space="preserve">, you update values in one place and everything else stays consistent.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Primary analysis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Our primary test rejected the null with </w:t>
      </w:r>
      <w:r>
        <w:rPr>
          <w:rFonts w:ascii="Calibri" w:hAnsi="Calibri"/>
          <w:i/>
          <w:color w:val="1F2937"/>
          <w:sz w:val="22"/>
          <w:szCs w:val="22"/>
        </w:rPr>
        <w:t xml:space="preserve">p = 8.70e-03</w:t>
      </w:r>
      <w:r>
        <w:rPr>
          <w:rFonts w:ascii="Calibri" w:hAnsi="Calibri"/>
          <w:color w:val="1F2937"/>
          <w:sz w:val="22"/>
          <w:szCs w:val="22"/>
        </w:rPr>
        <w:t xml:space="preserve"> across 1,247 samples (see Methods, Section 2).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The effect was consistent across subgroups (Table 1). As shown in Figure 1, the framework captures the relationship we expected.</w:t>
      </w:r>
    </w:p>
    <w:p>
      <w:pPr>
        <w:pStyle w:val="Heading3"/>
        <w:keepNext w:val="1"/>
        <w:keepLines w:val="1"/>
        <w:spacing w:before="200" w:after="120"/>
        <w:numPr>
          <w:ilvl w:val="0"/>
          <w:numId w:val="0"/>
        </w:numPr>
      </w:pPr>
      <w:r>
        <w:rPr>
          <w:rFonts w:ascii="Calibri" w:hAnsi="Calibri"/>
          <w:b/>
          <w:color w:val="333333"/>
          <w:sz w:val="24"/>
          <w:szCs w:val="24"/>
        </w:rPr>
        <w:t xml:space="preserve">Inline-markdown table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Use a plain markdown pipe table when the values won't change between edits — captions, summary descriptors, presentation-only tables.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Metric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Value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Notes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Sample size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1,247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Total enrolled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R</w:t>
            </w:r>
            <w:r>
              <w:rPr>
                <w:rFonts w:ascii="Calibri" w:hAnsi="Calibri"/>
                <w:color w:val="1F2937"/>
                <w:sz w:val="22"/>
                <w:szCs w:val="22"/>
                <w:vertAlign w:val="superscript"/>
              </w:rPr>
              <w:t xml:space="preserve">2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0.87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Primary regression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p-value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8.70e-03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Two-sided, BH-adj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keepNext w:val="1"/>
        <w:keepLines w:val="1"/>
        <w:spacing w:before="200" w:after="120"/>
        <w:numPr>
          <w:ilvl w:val="0"/>
          <w:numId w:val="0"/>
        </w:numPr>
      </w:pPr>
      <w:r>
        <w:rPr>
          <w:rFonts w:ascii="Calibri" w:hAnsi="Calibri"/>
          <w:b/>
          <w:color w:val="333333"/>
          <w:sz w:val="24"/>
          <w:szCs w:val="24"/>
        </w:rPr>
        <w:t xml:space="preserve">Data-driven table from `tables/subgroup_summary.csv`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Use a separate data file when the table is generated by an analysis script. Declare it in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manifest.yaml</w:t>
      </w:r>
      <w:r>
        <w:rPr>
          <w:rFonts w:ascii="Calibri" w:hAnsi="Calibri"/>
          <w:color w:val="1F2937"/>
          <w:sz w:val="22"/>
          <w:szCs w:val="22"/>
        </w:rPr>
        <w:t xml:space="preserve"> under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tables:</w:t>
      </w:r>
      <w:r>
        <w:rPr>
          <w:rFonts w:ascii="Calibri" w:hAnsi="Calibri"/>
          <w:color w:val="1F2937"/>
          <w:sz w:val="22"/>
          <w:szCs w:val="22"/>
        </w:rPr>
        <w:t xml:space="preserve">, then reference with a </w:t>
      </w:r>
      <w:r>
        <w:rPr>
          <w:rStyle w:val="Code"/>
          <w:rFonts w:ascii="Calibri" w:hAnsi="Calibri"/>
          <w:color w:val="1F2937"/>
          <w:sz w:val="22"/>
          <w:szCs w:val="22"/>
        </w:rPr>
        <w:t xml:space="preserve">XXXX</w:t>
      </w:r>
      <w:r>
        <w:rPr>
          <w:rFonts w:ascii="Calibri" w:hAnsi="Calibri"/>
          <w:color w:val="1F2937"/>
          <w:sz w:val="22"/>
          <w:szCs w:val="22"/>
        </w:rPr>
        <w:t xml:space="preserve"> token. The token expands to a markdown pipe table at build time so PDF, HTML, and Word all render identically:</w:t>
      </w:r>
    </w:p>
    <w:tbl>
      <w:tblPr>
        <w:tblW w:w="5000" w:type="pct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r>
        <w:trPr>
          <w:cantSplit w:val="1"/>
          <w:tblHeader w:val="1"/>
        </w:trPr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Subgroup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Mean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SD</w:t>
            </w:r>
          </w:p>
        </w:tc>
        <w:tc>
          <w:tcPr>
            <w:shd w:val="clear" w:fill="0F3D91"/>
          </w:tcPr>
          <w:p>
            <w:pPr>
              <w:keepNext w:val="1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Overall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1247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1.24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0.18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0.0087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Female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612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1.21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0.17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0.012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Male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635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1.27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0.19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0.014</w:t>
            </w:r>
          </w:p>
        </w:tc>
      </w:tr>
      <w:tr>
        <w:trPr>
          <w:cantSplit w:val="1"/>
        </w:trPr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Age &lt; 50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521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1.19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0.16</w:t>
            </w:r>
          </w:p>
        </w:tc>
        <w:tc>
          <w:tcPr>
            <w:shd w:val="clear" w:fill="F2F2F2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0.018</w:t>
            </w:r>
          </w:p>
        </w:tc>
      </w:tr>
      <w:tr>
        <w:trPr>
          <w:cantSplit w:val="1"/>
        </w:trPr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Age &gt;= 50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726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1.28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0.20</w:t>
            </w:r>
          </w:p>
        </w:tc>
        <w:tc>
          <w:tcPr>
            <w:shd w:val="clear" w:fill="FFFFFF"/>
          </w:tcPr>
          <w:p>
            <w:r>
              <w:rPr>
                <w:rFonts w:ascii="Calibri" w:hAnsi="Calibri"/>
                <w:color w:val="1F2937"/>
                <w:sz w:val="22"/>
                <w:szCs w:val="22"/>
              </w:rPr>
              <w:t xml:space="preserve">0.0091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Re-run your analysis, overwrite the CSV, rebuild — every output stays in sync.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Robustness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Follow-up analyses corroborated the primary finding. Replace this paragraph with your own, or add subsections as needed.</w:t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Discussion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Summarize the main finding in the first sentence. Use the rest of the paragraph to contextualize against prior work [2, 3].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Limitations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List the main caveats here. Writing them as markdown bullets keeps them easy to rearrange: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Limitation one — explain briefly.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Limitation two.</w:t>
      </w:r>
    </w:p>
    <w:p>
      <w:pPr>
        <w:spacing w:after="120"/>
        <w:numPr>
          <w:ilvl w:val="0"/>
          <w:numId w:val="1"/>
        </w:numPr>
      </w:pPr>
      <w:r>
        <w:rPr>
          <w:rFonts w:ascii="Calibri" w:hAnsi="Calibri"/>
          <w:color w:val="1F2937"/>
          <w:sz w:val="22"/>
          <w:szCs w:val="22"/>
        </w:rPr>
        <w:t xml:space="preserve">Limitation three.</w:t>
      </w:r>
    </w:p>
    <w:p>
      <w:pPr>
        <w:pStyle w:val="Heading2"/>
        <w:keepNext w:val="1"/>
        <w:keepLines w:val="1"/>
        <w:spacing w:before="240" w:after="80"/>
        <w:numPr>
          <w:ilvl w:val="0"/>
          <w:numId w:val="0"/>
        </w:numPr>
      </w:pPr>
      <w:r>
        <w:rPr>
          <w:rFonts w:ascii="Calibri" w:hAnsi="Calibri"/>
          <w:b/>
          <w:color w:val="1E55B3"/>
          <w:sz w:val="28"/>
          <w:szCs w:val="28"/>
        </w:rPr>
        <w:t xml:space="preserve">Conclusion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End with a one-paragraph conclusion. Cite the specific contributions made by this paper rather than re-summarizing the results.</w:t>
      </w:r>
    </w:p>
    <w:p>
      <w:r>
        <w:br w:type="page"/>
      </w:r>
    </w:p>
    <w:p>
      <w:pPr>
        <w:pStyle w:val="Heading1"/>
        <w:keepNext w:val="1"/>
        <w:keepLines w:val="1"/>
        <w:spacing w:before="360" w:after="120"/>
        <w:numPr>
          <w:ilvl w:val="0"/>
          <w:numId w:val="0"/>
        </w:numPr>
      </w:pPr>
      <w:r>
        <w:rPr>
          <w:rFonts w:ascii="Calibri" w:hAnsi="Calibri"/>
          <w:b/>
          <w:color w:val="0F3D91"/>
          <w:sz w:val="36"/>
          <w:szCs w:val="36"/>
        </w:rPr>
        <w:t xml:space="preserve">References</w:t>
      </w:r>
    </w:p>
    <w:p>
      <w:pPr>
        <w:spacing w:after="120"/>
      </w:pPr>
      <w:r>
        <w:rPr>
          <w:rFonts w:ascii="Calibri" w:hAnsi="Calibri"/>
          <w:color w:val="DC3545"/>
          <w:sz w:val="22"/>
          <w:szCs w:val="22"/>
        </w:rPr>
        <w:t xml:space="preserve">[1] key — MISSING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[2] </w:t>
      </w:r>
      <w:r>
        <w:rPr>
          <w:rFonts w:ascii="Calibri" w:hAnsi="Calibri"/>
          <w:b/>
          <w:color w:val="1F2937"/>
          <w:sz w:val="22"/>
          <w:szCs w:val="22"/>
        </w:rPr>
        <w:t xml:space="preserve">Alice Example, Bob Colleague. </w:t>
      </w:r>
      <w:r>
        <w:rPr>
          <w:rFonts w:ascii="Calibri" w:hAnsi="Calibri"/>
          <w:color w:val="1F2937"/>
          <w:sz w:val="22"/>
          <w:szCs w:val="22"/>
        </w:rPr>
        <w:t xml:space="preserve">An Example Paper about Things. </w:t>
      </w:r>
      <w:r>
        <w:rPr>
          <w:rFonts w:ascii="Calibri" w:hAnsi="Calibri"/>
          <w:i/>
          <w:color w:val="1F2937"/>
          <w:sz w:val="22"/>
          <w:szCs w:val="22"/>
        </w:rPr>
        <w:t xml:space="preserve">Journal of Example Research</w:t>
      </w:r>
      <w:r>
        <w:rPr>
          <w:rFonts w:ascii="Calibri" w:hAnsi="Calibri"/>
          <w:color w:val="1F2937"/>
          <w:sz w:val="22"/>
          <w:szCs w:val="22"/>
        </w:rPr>
        <w:t xml:space="preserve"> 42(3), 123–145 (2024)</w:t>
      </w:r>
      <w:r>
        <w:rPr>
          <w:rFonts w:ascii="Calibri" w:hAnsi="Calibri"/>
          <w:color w:val="1F2937"/>
          <w:sz w:val="22"/>
          <w:szCs w:val="22"/>
        </w:rPr>
        <w:t xml:space="preserve">. </w:t>
      </w:r>
      <w:r>
        <w:rPr>
          <w:rFonts w:ascii="Calibri" w:hAnsi="Calibri"/>
          <w:color w:val="1155CC"/>
          <w:sz w:val="22"/>
          <w:szCs w:val="22"/>
        </w:rPr>
        <w:t xml:space="preserve">https://doi.org/10.1234/example.2024.001</w:t>
      </w:r>
    </w:p>
    <w:p>
      <w:pPr>
        <w:spacing w:after="120"/>
      </w:pPr>
      <w:r>
        <w:rPr>
          <w:rFonts w:ascii="Calibri" w:hAnsi="Calibri"/>
          <w:color w:val="1F2937"/>
          <w:sz w:val="22"/>
          <w:szCs w:val="22"/>
        </w:rPr>
        <w:t xml:space="preserve">[3] </w:t>
      </w:r>
      <w:r>
        <w:rPr>
          <w:rFonts w:ascii="Calibri" w:hAnsi="Calibri"/>
          <w:b/>
          <w:color w:val="1F2937"/>
          <w:sz w:val="22"/>
          <w:szCs w:val="22"/>
        </w:rPr>
        <w:t xml:space="preserve">Carol Other, Dave Researcher, Erin Team. </w:t>
      </w:r>
      <w:r>
        <w:rPr>
          <w:rFonts w:ascii="Calibri" w:hAnsi="Calibri"/>
          <w:color w:val="1F2937"/>
          <w:sz w:val="22"/>
          <w:szCs w:val="22"/>
        </w:rPr>
        <w:t xml:space="preserve">Another Study with Important Findings. </w:t>
      </w:r>
      <w:r>
        <w:rPr>
          <w:rFonts w:ascii="Calibri" w:hAnsi="Calibri"/>
          <w:i/>
          <w:color w:val="1F2937"/>
          <w:sz w:val="22"/>
          <w:szCs w:val="22"/>
        </w:rPr>
        <w:t xml:space="preserve">Nature Example Science</w:t>
      </w:r>
      <w:r>
        <w:rPr>
          <w:rFonts w:ascii="Calibri" w:hAnsi="Calibri"/>
          <w:color w:val="1F2937"/>
          <w:sz w:val="22"/>
          <w:szCs w:val="22"/>
        </w:rPr>
        <w:t xml:space="preserve"> 7, e12345 (2023)</w:t>
      </w:r>
      <w:r>
        <w:rPr>
          <w:rFonts w:ascii="Calibri" w:hAnsi="Calibri"/>
          <w:color w:val="1F2937"/>
          <w:sz w:val="22"/>
          <w:szCs w:val="22"/>
        </w:rPr>
        <w:t xml:space="preserve">. </w:t>
      </w:r>
      <w:r>
        <w:rPr>
          <w:rFonts w:ascii="Calibri" w:hAnsi="Calibri"/>
          <w:color w:val="1155CC"/>
          <w:sz w:val="22"/>
          <w:szCs w:val="22"/>
        </w:rPr>
        <w:t xml:space="preserve">https://doi.org/10.1038/example.2023.002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i/>
        <w:color w:val="888888"/>
        <w:sz w:val="18"/>
      </w:rPr>
      <w:t>Built with document-sanity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pBdr>
        <w:bottom w:val="single" w:sz="6" w:space="4" w:color="0F3D91"/>
      </w:pBdr>
    </w:pPr>
    <w:r/>
    <w:r>
      <w:drawing>
        <wp:inline xmlns:a="http://schemas.openxmlformats.org/drawingml/2006/main" xmlns:pic="http://schemas.openxmlformats.org/drawingml/2006/picture">
          <wp:extent cx="1371600" cy="3657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36576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color w:val="555555"/>
        <w:sz w:val="20"/>
      </w:rPr>
      <w:t xml:space="preserve">Page </w:t>
    </w:r>
    <w:r>
      <w:rPr>
        <w:color w:val="555555"/>
        <w:sz w:val="20"/>
      </w:rPr>
      <w:fldChar w:fldCharType="begin"/>
      <w:instrText xml:space="preserve"> PAGE </w:instrText>
      <w:fldChar w:fldCharType="end"/>
    </w:r>
    <w:r>
      <w:rPr>
        <w:color w:val="555555"/>
        <w:sz w:val="20"/>
      </w:rPr>
      <w:t xml:space="preserve"> of </w:t>
    </w:r>
    <w:r>
      <w:rPr>
        <w:color w:val="555555"/>
        <w:sz w:val="20"/>
      </w:rPr>
      <w:fldChar w:fldCharType="begin"/>
      <w:instrText xml:space="preserve"> NUMPAGES </w:instrText>
      <w:fldChar w:fldCharType="end"/>
    </w:r>
  </w:p>
  <w:p>
    <w:r>
      <w:drawing>
        <wp:anchor xmlns:a="http://schemas.openxmlformats.org/drawingml/2006/main" distT="0" distB="0" distL="0" distR="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86400" cy="5486400"/>
          <wp:effectExtent l="0" t="0" r="0" b="0"/>
          <wp:wrapNone/>
          <wp:docPr id="999" name="Watermark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86400" cy="5486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w14="http://schemas.microsoft.com/office/word/2010/wordml" xmlns:w15="http://schemas.microsoft.com/office/word/2012/wordml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  <w:color w:val="1F2937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  <w:color w:val="1F2937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F3D9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E55B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3333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3D9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  <w:jc w:val="center"/>
    </w:pPr>
    <w:rPr>
      <w:rFonts w:ascii="Calibri" w:hAnsi="Calibri"/>
      <w:b/>
      <w:bCs/>
      <w:i/>
      <w:color w:val="555555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ode">
    <w:name w:val="Code"/>
    <w:rPr>
      <w:rFonts w:ascii="Consolas" w:hAnsi="Consolas"/>
      <w:color w:val="88224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Img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